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2.odttf" ContentType="application/vnd.openxmlformats-officedocument.obfuscatedFont"/>
  <Override PartName="/word/fonts/font33.odttf" ContentType="application/vnd.openxmlformats-officedocument.obfuscatedFont"/>
  <Override PartName="/word/fonts/font34.odttf" ContentType="application/vnd.openxmlformats-officedocument.obfuscatedFont"/>
  <Override PartName="/word/fonts/font35.odttf" ContentType="application/vnd.openxmlformats-officedocument.obfuscatedFont"/>
  <Override PartName="/word/fonts/font36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Arial Narrow" w:hAnsi="Arial Narrow" w:eastAsia="Arial Narrow" w:cs="Arial Narrow"/>
          <w:b/>
          <w:color w:val="948A54"/>
          <w:sz w:val="32"/>
          <w:szCs w:val="32"/>
        </w:rPr>
      </w:pPr>
      <w:r>
        <w:rPr>
          <w:rFonts w:eastAsia="Arial Narrow" w:cs="Arial Narrow" w:ascii="Arial Narrow" w:hAnsi="Arial Narrow"/>
          <w:b/>
          <w:color w:val="948A54"/>
          <w:sz w:val="32"/>
          <w:szCs w:val="32"/>
        </w:rPr>
        <w:t>Actividad sumativa T1.A1.2 Caso práctico</w:t>
      </w:r>
    </w:p>
    <w:p>
      <w:pPr>
        <w:pStyle w:val="Normal"/>
        <w:rPr>
          <w:rFonts w:ascii="Arial" w:hAnsi="Arial" w:eastAsia="Arial" w:cs="Arial"/>
          <w:b/>
        </w:rPr>
      </w:pPr>
      <w:r>
        <w:rPr>
          <w:rFonts w:eastAsia="Arial" w:cs="Arial" w:ascii="Arial" w:hAnsi="Arial"/>
          <w:b/>
        </w:rPr>
      </w:r>
    </w:p>
    <w:p>
      <w:pPr>
        <w:pStyle w:val="Normal"/>
        <w:rPr>
          <w:rFonts w:ascii="Arial" w:hAnsi="Arial" w:eastAsia="Arial" w:cs="Arial"/>
          <w:b/>
        </w:rPr>
      </w:pPr>
      <w:r>
        <w:rPr>
          <w:rFonts w:eastAsia="Arial" w:cs="Arial" w:ascii="Arial" w:hAnsi="Arial"/>
          <w:b/>
        </w:rPr>
        <w:t>Aplicación práctica de los sistemas numéricos</w:t>
      </w:r>
    </w:p>
    <w:p>
      <w:pPr>
        <w:pStyle w:val="Normal"/>
        <w:rPr>
          <w:rFonts w:ascii="Arial" w:hAnsi="Arial" w:eastAsia="Arial" w:cs="Arial"/>
          <w:b/>
        </w:rPr>
      </w:pPr>
      <w:r>
        <w:rPr>
          <w:rFonts w:eastAsia="Arial" w:cs="Arial" w:ascii="Arial" w:hAnsi="Arial"/>
          <w:b/>
        </w:rPr>
      </w:r>
    </w:p>
    <w:p>
      <w:pPr>
        <w:pStyle w:val="Normal"/>
        <w:spacing w:lineRule="auto" w:line="360"/>
        <w:ind w:left="142"/>
        <w:jc w:val="both"/>
        <w:rPr>
          <w:rFonts w:ascii="Arial" w:hAnsi="Arial" w:eastAsia="Arial" w:cs="Arial"/>
        </w:rPr>
      </w:pPr>
      <w:bookmarkStart w:id="0" w:name="_heading=h.p8zil23ookmg"/>
      <w:bookmarkEnd w:id="0"/>
      <w:r>
        <w:rPr>
          <w:rFonts w:eastAsia="Arial" w:cs="Arial" w:ascii="Arial" w:hAnsi="Arial"/>
          <w:b/>
        </w:rPr>
        <w:t>Escenario:</w:t>
      </w:r>
      <w:r>
        <w:rPr>
          <w:rFonts w:eastAsia="Arial" w:cs="Arial" w:ascii="Arial" w:hAnsi="Arial"/>
        </w:rPr>
        <w:t xml:space="preserve"> Estás trabajando como técnico en redes y necesitas verificar si dos dispositivos pertenecen a la misma subred. Para hacerlo, aplicarás la operación multiplicación (operación lógica AND) entre la dirección IP y la máscara de subred</w:t>
      </w:r>
    </w:p>
    <w:p>
      <w:pPr>
        <w:pStyle w:val="Normal"/>
        <w:spacing w:lineRule="auto" w:line="360"/>
        <w:ind w:left="142"/>
        <w:jc w:val="both"/>
        <w:rPr>
          <w:rFonts w:ascii="Arial" w:hAnsi="Arial" w:eastAsia="Arial" w:cs="Arial"/>
        </w:rPr>
      </w:pPr>
      <w:r>
        <w:rPr>
          <w:rFonts w:eastAsia="Arial" w:cs="Arial" w:ascii="Arial" w:hAnsi="Arial"/>
          <w:b/>
        </w:rPr>
        <w:t>Datos:</w:t>
      </w:r>
    </w:p>
    <w:p>
      <w:pPr>
        <w:pStyle w:val="Normal"/>
        <w:numPr>
          <w:ilvl w:val="0"/>
          <w:numId w:val="5"/>
        </w:numPr>
        <w:spacing w:before="0" w:after="16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 xml:space="preserve">Dirección IP del </w:t>
      </w:r>
      <w:r>
        <w:rPr>
          <w:rFonts w:eastAsia="Arial" w:cs="Arial" w:ascii="Arial" w:hAnsi="Arial"/>
          <w:b/>
          <w:color w:val="000000"/>
        </w:rPr>
        <w:t>Dispositivo A</w:t>
      </w:r>
      <w:r>
        <w:rPr>
          <w:rFonts w:eastAsia="Arial" w:cs="Arial" w:ascii="Arial" w:hAnsi="Arial"/>
          <w:color w:val="000000"/>
        </w:rPr>
        <w:t>: 192.168.10.25</w:t>
      </w:r>
    </w:p>
    <w:p>
      <w:pPr>
        <w:pStyle w:val="Normal"/>
        <w:numPr>
          <w:ilvl w:val="0"/>
          <w:numId w:val="5"/>
        </w:numPr>
        <w:spacing w:before="0" w:after="16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 xml:space="preserve">Dirección IP del </w:t>
      </w:r>
      <w:r>
        <w:rPr>
          <w:rFonts w:eastAsia="Arial" w:cs="Arial" w:ascii="Arial" w:hAnsi="Arial"/>
          <w:b/>
          <w:color w:val="000000"/>
        </w:rPr>
        <w:t>Dispositivo B</w:t>
      </w:r>
      <w:r>
        <w:rPr>
          <w:rFonts w:eastAsia="Arial" w:cs="Arial" w:ascii="Arial" w:hAnsi="Arial"/>
          <w:color w:val="000000"/>
        </w:rPr>
        <w:t>: 192.168.10.100</w:t>
      </w:r>
    </w:p>
    <w:p>
      <w:pPr>
        <w:pStyle w:val="Normal"/>
        <w:numPr>
          <w:ilvl w:val="0"/>
          <w:numId w:val="5"/>
        </w:numPr>
        <w:spacing w:before="0" w:after="16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Máscara de subred: 255.255.255.192</w:t>
      </w:r>
    </w:p>
    <w:p>
      <w:pPr>
        <w:pStyle w:val="Normal"/>
        <w:spacing w:lineRule="auto" w:line="259" w:before="0" w:after="160"/>
        <w:rPr>
          <w:rFonts w:ascii="Arial" w:hAnsi="Arial" w:eastAsia="Arial" w:cs="Arial"/>
          <w:b/>
        </w:rPr>
      </w:pPr>
      <w:bookmarkStart w:id="1" w:name="_heading=h.4w3jxm4dgx3c"/>
      <w:bookmarkEnd w:id="1"/>
      <w:r>
        <w:rPr>
          <w:rFonts w:eastAsia="Arial" w:cs="Arial" w:ascii="Arial" w:hAnsi="Arial"/>
          <w:b/>
        </w:rPr>
        <w:t>Consideraciones:</w:t>
      </w:r>
    </w:p>
    <w:p>
      <w:pPr>
        <w:pStyle w:val="Normal"/>
        <w:spacing w:lineRule="auto" w:line="259" w:before="0" w:after="160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Si los octetos de la dirección de las subredes son iguales entonces comparten la misma dirección de subred y pueden comunicarse directamente.</w:t>
      </w:r>
    </w:p>
    <w:p>
      <w:pPr>
        <w:pStyle w:val="Normal"/>
        <w:spacing w:lineRule="auto" w:line="259" w:before="0" w:after="160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Si los octetos de la dirección de las subredes no son iguales entonces no comparten la misma dirección de subred y no pueden comunicarse directamente, requieren pasar por un dispositivo router.</w:t>
      </w:r>
    </w:p>
    <w:p>
      <w:pPr>
        <w:pStyle w:val="Normal"/>
        <w:spacing w:lineRule="auto" w:line="259" w:before="0" w:after="160"/>
        <w:rPr>
          <w:rFonts w:ascii="Arial" w:hAnsi="Arial" w:eastAsia="Arial" w:cs="Arial"/>
          <w:b/>
        </w:rPr>
      </w:pPr>
      <w:r>
        <w:rPr>
          <w:rFonts w:eastAsia="Arial" w:cs="Arial" w:ascii="Arial" w:hAnsi="Arial"/>
          <w:b/>
        </w:rPr>
        <w:t>Entonces…</w:t>
      </w:r>
    </w:p>
    <w:p>
      <w:pPr>
        <w:pStyle w:val="Normal"/>
        <w:numPr>
          <w:ilvl w:val="0"/>
          <w:numId w:val="1"/>
        </w:numPr>
        <w:spacing w:lineRule="auto" w:line="259" w:before="0" w:after="160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Si </w:t>
      </w:r>
      <w:r>
        <w:rPr>
          <w:rFonts w:eastAsia="Arial" w:cs="Arial" w:ascii="Arial" w:hAnsi="Arial"/>
          <w:b/>
        </w:rPr>
        <w:t>dos dispositivos tienen la misma dirección de subred</w:t>
      </w:r>
      <w:r>
        <w:rPr>
          <w:rFonts w:eastAsia="Arial" w:cs="Arial" w:ascii="Arial" w:hAnsi="Arial"/>
        </w:rPr>
        <w:t xml:space="preserve"> después de aplicar la operación AND con la máscara correspondiente...</w:t>
      </w:r>
    </w:p>
    <w:p>
      <w:pPr>
        <w:pStyle w:val="Normal"/>
        <w:numPr>
          <w:ilvl w:val="0"/>
          <w:numId w:val="1"/>
        </w:numPr>
        <w:spacing w:lineRule="auto" w:line="259" w:before="0" w:after="160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 xml:space="preserve">Significa que </w:t>
      </w:r>
      <w:r>
        <w:rPr>
          <w:rFonts w:eastAsia="Arial" w:cs="Arial" w:ascii="Arial" w:hAnsi="Arial"/>
          <w:b/>
        </w:rPr>
        <w:t>están en la misma red local</w:t>
      </w:r>
      <w:r>
        <w:rPr>
          <w:rFonts w:eastAsia="Arial" w:cs="Arial" w:ascii="Arial" w:hAnsi="Arial"/>
        </w:rPr>
        <w:t>.</w:t>
      </w:r>
    </w:p>
    <w:p>
      <w:pPr>
        <w:pStyle w:val="Normal"/>
        <w:spacing w:lineRule="auto" w:line="259" w:before="0" w:after="160"/>
        <w:rPr>
          <w:rFonts w:ascii="Arial" w:hAnsi="Arial" w:eastAsia="Arial" w:cs="Arial"/>
          <w:b/>
        </w:rPr>
      </w:pPr>
      <w:r>
        <w:rPr>
          <w:rFonts w:eastAsia="Arial" w:cs="Arial" w:ascii="Arial" w:hAnsi="Arial"/>
        </w:rPr>
        <w:t xml:space="preserve">Y por lo tanto, </w:t>
      </w:r>
      <w:r>
        <w:rPr>
          <w:rFonts w:eastAsia="Arial" w:cs="Arial" w:ascii="Arial" w:hAnsi="Arial"/>
          <w:b/>
        </w:rPr>
        <w:t>pueden comunicarse entre sí directamente</w:t>
      </w:r>
      <w:r>
        <w:rPr>
          <w:rFonts w:eastAsia="Arial" w:cs="Arial" w:ascii="Arial" w:hAnsi="Arial"/>
        </w:rPr>
        <w:t xml:space="preserve"> mediante switches o hubs, </w:t>
      </w:r>
      <w:r>
        <w:rPr>
          <w:rFonts w:eastAsia="Arial" w:cs="Arial" w:ascii="Arial" w:hAnsi="Arial"/>
          <w:b/>
        </w:rPr>
        <w:t>sin necesidad de que intervenga un router.</w:t>
      </w:r>
    </w:p>
    <w:p>
      <w:pPr>
        <w:pStyle w:val="Normal"/>
        <w:spacing w:lineRule="auto" w:line="259" w:before="0" w:after="160"/>
        <w:rPr>
          <w:rFonts w:ascii="Arial" w:hAnsi="Arial" w:eastAsia="Arial" w:cs="Arial"/>
        </w:rPr>
      </w:pPr>
      <w:r>
        <w:rPr/>
        <mc:AlternateContent>
          <mc:Choice Requires="wps">
            <w:drawing>
              <wp:inline distT="0" distB="0" distL="0" distR="0">
                <wp:extent cx="5612130" cy="19050"/>
                <wp:effectExtent l="0" t="0" r="0" b="101600"/>
                <wp:docPr id="1" name="Forma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04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1" path="m0,0l-2147483645,0l-2147483645,-2147483646l0,-2147483646xe" fillcolor="#a0a0a0" stroked="f" o:allowincell="f" style="position:absolute;margin-left:0pt;margin-top:-9.55pt;width:441.8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spacing w:lineRule="auto" w:line="259" w:before="0" w:after="160"/>
        <w:rPr>
          <w:rFonts w:ascii="Arial" w:hAnsi="Arial" w:eastAsia="Arial" w:cs="Arial"/>
          <w:b/>
        </w:rPr>
      </w:pPr>
      <w:r>
        <w:rPr>
          <w:rFonts w:eastAsia="Arial" w:cs="Arial" w:ascii="Arial" w:hAnsi="Arial"/>
          <w:b/>
        </w:rPr>
        <w:t>Aprendizajes esperados:</w:t>
      </w:r>
    </w:p>
    <w:p>
      <w:pPr>
        <w:pStyle w:val="Normal"/>
        <w:numPr>
          <w:ilvl w:val="0"/>
          <w:numId w:val="2"/>
        </w:numPr>
        <w:spacing w:lineRule="auto" w:line="259" w:before="0" w:after="160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Conversión de decimal a binario (sistema base 2).</w:t>
      </w:r>
    </w:p>
    <w:p>
      <w:pPr>
        <w:pStyle w:val="Normal"/>
        <w:numPr>
          <w:ilvl w:val="0"/>
          <w:numId w:val="2"/>
        </w:numPr>
        <w:spacing w:lineRule="auto" w:line="259" w:before="0" w:after="160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Aplicación de la operación producto a nivel binario.</w:t>
      </w:r>
    </w:p>
    <w:p>
      <w:pPr>
        <w:pStyle w:val="Normal"/>
        <w:numPr>
          <w:ilvl w:val="0"/>
          <w:numId w:val="2"/>
        </w:numPr>
        <w:spacing w:lineRule="auto" w:line="259" w:before="0" w:after="160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Interpretación de resultados en el contexto de redes IP.</w:t>
      </w:r>
    </w:p>
    <w:p>
      <w:pPr>
        <w:pStyle w:val="Normal"/>
        <w:spacing w:lineRule="auto" w:line="259" w:before="0" w:after="160"/>
        <w:rPr>
          <w:rFonts w:ascii="Arial" w:hAnsi="Arial" w:eastAsia="Arial" w:cs="Arial"/>
        </w:rPr>
      </w:pPr>
      <w:r>
        <w:rPr/>
        <mc:AlternateContent>
          <mc:Choice Requires="wps">
            <w:drawing>
              <wp:inline distT="0" distB="0" distL="0" distR="0">
                <wp:extent cx="5612130" cy="19050"/>
                <wp:effectExtent l="0" t="0" r="0" b="101600"/>
                <wp:docPr id="2" name="Forma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204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ID="Forma2" path="m0,0l-2147483645,0l-2147483645,-2147483646l0,-2147483646xe" fillcolor="#a0a0a0" stroked="f" o:allowincell="f" style="position:absolute;margin-left:0pt;margin-top:-9.55pt;width:441.85pt;height:1.45pt;mso-wrap-style:none;v-text-anchor:middle;mso-position-vertical:top">
                <v:fill o:detectmouseclick="t" type="solid" color2="#5f5f5f"/>
                <v:stroke color="#3465a4" joinstyle="round" endcap="flat"/>
                <w10:wrap type="square"/>
              </v:rect>
            </w:pict>
          </mc:Fallback>
        </mc:AlternateContent>
      </w:r>
    </w:p>
    <w:p>
      <w:pPr>
        <w:pStyle w:val="Normal"/>
        <w:spacing w:lineRule="auto" w:line="360"/>
        <w:ind w:left="142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Realiza cada una de las operaciones correspondientes para dar respuesta a la pregunta planteada</w:t>
      </w:r>
    </w:p>
    <w:p>
      <w:pPr>
        <w:pStyle w:val="Normal"/>
        <w:numPr>
          <w:ilvl w:val="0"/>
          <w:numId w:val="6"/>
        </w:numPr>
        <w:spacing w:before="0" w:after="16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b/>
          <w:color w:val="000000"/>
        </w:rPr>
        <w:t>Convierte a binario</w:t>
      </w:r>
      <w:r>
        <w:rPr>
          <w:rFonts w:eastAsia="Arial" w:cs="Arial" w:ascii="Arial" w:hAnsi="Arial"/>
          <w:color w:val="000000"/>
        </w:rPr>
        <w:t xml:space="preserve"> las direcciones IP y la máscara de subred (escribe cada octeto en 8 bits).</w:t>
      </w:r>
    </w:p>
    <w:p>
      <w:pPr>
        <w:pStyle w:val="Normal"/>
        <w:numPr>
          <w:ilvl w:val="0"/>
          <w:numId w:val="6"/>
        </w:numPr>
        <w:spacing w:before="0" w:after="16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b/>
          <w:color w:val="000000"/>
        </w:rPr>
        <w:t xml:space="preserve">Aplica el Producto (operación lógica AND) </w:t>
      </w:r>
      <w:r>
        <w:rPr>
          <w:rFonts w:eastAsia="Arial" w:cs="Arial" w:ascii="Arial" w:hAnsi="Arial"/>
          <w:color w:val="000000"/>
        </w:rPr>
        <w:t>entre:</w:t>
      </w:r>
    </w:p>
    <w:p>
      <w:pPr>
        <w:pStyle w:val="Normal"/>
        <w:numPr>
          <w:ilvl w:val="0"/>
          <w:numId w:val="3"/>
        </w:numPr>
        <w:spacing w:before="0" w:after="160"/>
        <w:ind w:hanging="360" w:left="1134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IP A y la máscara de subred.</w:t>
      </w:r>
    </w:p>
    <w:p>
      <w:pPr>
        <w:pStyle w:val="Normal"/>
        <w:numPr>
          <w:ilvl w:val="0"/>
          <w:numId w:val="3"/>
        </w:numPr>
        <w:spacing w:before="0" w:after="160"/>
        <w:ind w:hanging="360" w:left="1134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IP B y la máscara de subred.</w:t>
      </w:r>
    </w:p>
    <w:p>
      <w:pPr>
        <w:pStyle w:val="Normal"/>
        <w:numPr>
          <w:ilvl w:val="0"/>
          <w:numId w:val="6"/>
        </w:numPr>
        <w:spacing w:before="0" w:after="16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b/>
          <w:color w:val="000000"/>
        </w:rPr>
        <w:t>Obtén la dirección de subred</w:t>
      </w:r>
      <w:r>
        <w:rPr>
          <w:rFonts w:eastAsia="Arial" w:cs="Arial" w:ascii="Arial" w:hAnsi="Arial"/>
          <w:color w:val="000000"/>
        </w:rPr>
        <w:t xml:space="preserve"> para cada dispositivo y compárala.</w:t>
      </w:r>
    </w:p>
    <w:p>
      <w:pPr>
        <w:pStyle w:val="Normal"/>
        <w:numPr>
          <w:ilvl w:val="0"/>
          <w:numId w:val="6"/>
        </w:numPr>
        <w:spacing w:before="0" w:after="16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b/>
          <w:color w:val="000000"/>
        </w:rPr>
        <w:t>Concluye</w:t>
      </w:r>
      <w:r>
        <w:rPr>
          <w:rFonts w:eastAsia="Arial" w:cs="Arial" w:ascii="Arial" w:hAnsi="Arial"/>
          <w:color w:val="000000"/>
        </w:rPr>
        <w:t>: Dando respuesta al siguiente cuestionamiento:</w:t>
      </w:r>
    </w:p>
    <w:p>
      <w:pPr>
        <w:pStyle w:val="Normal"/>
        <w:numPr>
          <w:ilvl w:val="0"/>
          <w:numId w:val="4"/>
        </w:numPr>
        <w:spacing w:before="0" w:after="16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¿Están en la misma subred? Justifica tu respuesta.</w:t>
      </w:r>
    </w:p>
    <w:p>
      <w:pPr>
        <w:pStyle w:val="Normal"/>
        <w:numPr>
          <w:ilvl w:val="0"/>
          <w:numId w:val="0"/>
        </w:numPr>
        <w:spacing w:before="0" w:after="160"/>
        <w:ind w:hanging="0" w:left="186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R= No, en los 3 primeros octetos si son iguales pero ya el 4 octeto si es diferente del uno al otro. Entonces no pertenecen a la misma red local y no pueden comunicarse directamente.</w:t>
      </w:r>
    </w:p>
    <w:p>
      <w:pPr>
        <w:pStyle w:val="Normal"/>
        <w:spacing w:before="0" w:after="16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</w:r>
    </w:p>
    <w:p>
      <w:pPr>
        <w:pStyle w:val="Normal"/>
        <w:rPr>
          <w:rFonts w:ascii="Arial Narrow" w:hAnsi="Arial Narrow" w:eastAsia="Arial Narrow" w:cs="Arial Narrow"/>
          <w:b/>
          <w:color w:val="948A54"/>
          <w:sz w:val="32"/>
          <w:szCs w:val="32"/>
        </w:rPr>
      </w:pPr>
      <w:r>
        <w:rPr>
          <w:rFonts w:eastAsia="Arial Narrow" w:cs="Arial Narrow" w:ascii="Arial Narrow" w:hAnsi="Arial Narrow"/>
          <w:b/>
          <w:color w:val="948A54"/>
          <w:sz w:val="32"/>
          <w:szCs w:val="32"/>
        </w:rPr>
        <w:t>Resultados</w:t>
      </w:r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t>En la siguiente pagina.</w:t>
      </w:r>
    </w:p>
    <w:p>
      <w:pPr>
        <w:pStyle w:val="Normal"/>
        <w:rPr>
          <w:rFonts w:ascii="Arial" w:hAnsi="Arial" w:eastAsia="Arial" w:cs="Arial"/>
        </w:rPr>
      </w:pPr>
      <w:r>
        <w:rPr>
          <w:rFonts w:eastAsia="Arial" w:cs="Arial" w:ascii="Arial" w:hAnsi="Arial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2130" cy="7212330"/>
            <wp:effectExtent l="0" t="0" r="0" b="0"/>
            <wp:wrapSquare wrapText="largest"/>
            <wp:docPr id="3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12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headerReference w:type="even" r:id="rId3"/>
      <w:headerReference w:type="default" r:id="rId4"/>
      <w:headerReference w:type="first" r:id="rId5"/>
      <w:type w:val="nextPage"/>
      <w:pgSz w:w="12240" w:h="15840"/>
      <w:pgMar w:left="1701" w:right="1701" w:gutter="0" w:header="708" w:top="1865" w:footer="0" w:bottom="1417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alibri Light">
    <w:charset w:val="00"/>
    <w:family w:val="swiss"/>
    <w:pitch w:val="variable"/>
    <w:embedRegular r:id="rId18" w:fontKey="{12014A78-CABC-4EF0-12AC-5CD89AEFDE12}"/>
  </w:font>
  <w:font w:name="Liberation Sans">
    <w:altName w:val="Arial"/>
    <w:charset w:val="00"/>
    <w:family w:val="swiss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Georgia">
    <w:charset w:val="00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Arial Narrow">
    <w:charset w:val="00"/>
    <w:family w:val="swiss"/>
    <w:pitch w:val="variable"/>
    <w:embedRegular r:id="rId27" w:fontKey="{1B014A78-CABC-4EF0-12AC-5CD89AEFDE1B}"/>
    <w:embedBold r:id="rId28" w:fontKey="{1C014A78-CABC-4EF0-12AC-5CD89AEFDE1C}"/>
    <w:embedItalic r:id="rId29" w:fontKey="{1D014A78-CABC-4EF0-12AC-5CD89AEFDE1D}"/>
    <w:embedBoldItalic r:id="rId30" w:fontKey="{1E014A78-CABC-4EF0-12AC-5CD89AEFDE1E}"/>
  </w:font>
  <w:font w:name="Wingdings">
    <w:charset w:val="02"/>
    <w:family w:val="auto"/>
    <w:pitch w:val="variable"/>
    <w:embedRegular r:id="rId31" w:fontKey="{1F014A78-CABC-4EF0-12AC-5CD89AEFDE1F}"/>
  </w:font>
  <w:font w:name="OpenSymbol">
    <w:altName w:val="Arial Unicode MS"/>
    <w:charset w:val="01"/>
    <w:family w:val="auto"/>
    <w:pitch w:val="variable"/>
    <w:embedRegular r:id="rId32" w:fontKey="{20014A78-CABC-4EF0-12AC-5CD89AEFDE20}"/>
  </w:font>
  <w:font w:name="Noto Sans Symbols">
    <w:charset w:val="01"/>
    <w:family w:val="swiss"/>
    <w:pitch w:val="default"/>
  </w:font>
  <w:font w:name="Courier New">
    <w:charset w:val="01"/>
    <w:family w:val="modern"/>
    <w:pitch w:val="fixed"/>
    <w:embedRegular r:id="rId33" w:fontKey="{21014A78-CABC-4EF0-12AC-5CD89AEFDE21}"/>
    <w:embedBold r:id="rId34" w:fontKey="{22014A78-CABC-4EF0-12AC-5CD89AEFDE22}"/>
    <w:embedItalic r:id="rId35" w:fontKey="{23014A78-CABC-4EF0-12AC-5CD89AEFDE23}"/>
    <w:embedBoldItalic r:id="rId36" w:fontKey="{24014A78-CABC-4EF0-12AC-5CD89AEFDE24}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419" w:leader="none"/>
        <w:tab w:val="right" w:pos="8838" w:leader="none"/>
      </w:tabs>
      <w:rPr>
        <w:color w:val="000000"/>
      </w:rPr>
    </w:pPr>
    <w:r>
      <w:rPr>
        <w:color w:val="000000"/>
      </w:rPr>
      <w:drawing>
        <wp:anchor behindDoc="1" distT="0" distB="0" distL="0" distR="0" simplePos="0" locked="0" layoutInCell="1" allowOverlap="1" relativeHeight="6">
          <wp:simplePos x="0" y="0"/>
          <wp:positionH relativeFrom="column">
            <wp:posOffset>-1071245</wp:posOffset>
          </wp:positionH>
          <wp:positionV relativeFrom="paragraph">
            <wp:posOffset>-449580</wp:posOffset>
          </wp:positionV>
          <wp:extent cx="7811135" cy="10108565"/>
          <wp:effectExtent l="0" t="0" r="0" b="0"/>
          <wp:wrapNone/>
          <wp:docPr id="4" name="image1.jp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1.jp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811135" cy="101085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tabs>
        <w:tab w:val="clear" w:pos="720"/>
        <w:tab w:val="center" w:pos="4419" w:leader="none"/>
        <w:tab w:val="right" w:pos="8838" w:leader="none"/>
      </w:tabs>
      <w:rPr>
        <w:color w:val="000000"/>
      </w:rPr>
    </w:pPr>
    <w:r>
      <w:rPr>
        <w:color w:val="000000"/>
      </w:rPr>
      <w:drawing>
        <wp:anchor behindDoc="1" distT="0" distB="0" distL="0" distR="0" simplePos="0" locked="0" layoutInCell="1" allowOverlap="1" relativeHeight="6">
          <wp:simplePos x="0" y="0"/>
          <wp:positionH relativeFrom="column">
            <wp:posOffset>-1071245</wp:posOffset>
          </wp:positionH>
          <wp:positionV relativeFrom="paragraph">
            <wp:posOffset>-449580</wp:posOffset>
          </wp:positionV>
          <wp:extent cx="7811135" cy="10108565"/>
          <wp:effectExtent l="0" t="0" r="0" b="0"/>
          <wp:wrapNone/>
          <wp:docPr id="5" name="image1.jpg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1.jpg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811135" cy="101085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tabs>
          <w:tab w:val="num" w:pos="0"/>
        </w:tabs>
        <w:ind w:left="18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5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330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40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7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46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61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9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620" w:hanging="180"/>
      </w:pPr>
      <w:rPr/>
    </w:lvl>
  </w:abstractNum>
  <w:abstractNum w:abstractNumId="4">
    <w:lvl w:ilvl="0">
      <w:start w:val="1"/>
      <w:numFmt w:val="lowerLetter"/>
      <w:lvlText w:val="%1."/>
      <w:lvlJc w:val="left"/>
      <w:pPr>
        <w:tabs>
          <w:tab w:val="num" w:pos="0"/>
        </w:tabs>
        <w:ind w:left="18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6480" w:hanging="36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s-MX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4"/>
        <w:szCs w:val="24"/>
        <w:lang w:val="es-MX" w:eastAsia="es-MX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Calibri"/>
      <w:color w:val="auto"/>
      <w:kern w:val="0"/>
      <w:sz w:val="24"/>
      <w:szCs w:val="24"/>
      <w:lang w:val="es-MX" w:eastAsia="es-MX" w:bidi="ar-SA"/>
    </w:rPr>
  </w:style>
  <w:style w:type="paragraph" w:styleId="Heading1">
    <w:name w:val="heading 1"/>
    <w:basedOn w:val="Normal"/>
    <w:next w:val="Normal"/>
    <w:uiPriority w:val="9"/>
    <w:qFormat/>
    <w:rsid w:val="26074024"/>
    <w:pPr>
      <w:keepNext w:val="true"/>
      <w:keepLines/>
      <w:spacing w:before="360" w:after="80"/>
      <w:outlineLvl w:val="0"/>
    </w:pPr>
    <w:rPr>
      <w:rFonts w:ascii="Calibri Light" w:hAnsi="Calibri Light" w:eastAsia="" w:cs="" w:asciiTheme="majorHAnsi" w:cstheme="majorEastAsia" w:eastAsiaTheme="minorEastAsia" w:hAnsiTheme="majorHAnsi"/>
      <w:color w:themeColor="accent1" w:themeShade="bf"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EncabezadoCar" w:customStyle="1">
    <w:name w:val="Encabezado Car"/>
    <w:basedOn w:val="DefaultParagraphFont"/>
    <w:uiPriority w:val="99"/>
    <w:qFormat/>
    <w:rsid w:val="009d3054"/>
    <w:rPr/>
  </w:style>
  <w:style w:type="character" w:styleId="PiedepginaCar" w:customStyle="1">
    <w:name w:val="Pie de página Car"/>
    <w:basedOn w:val="DefaultParagraphFont"/>
    <w:uiPriority w:val="99"/>
    <w:qFormat/>
    <w:rsid w:val="009d3054"/>
    <w:rPr/>
  </w:style>
  <w:style w:type="character" w:styleId="normaltextrun" w:customStyle="1">
    <w:name w:val="normaltextrun"/>
    <w:basedOn w:val="DefaultParagraphFont"/>
    <w:qFormat/>
    <w:rsid w:val="00ee47df"/>
    <w:rPr/>
  </w:style>
  <w:style w:type="character" w:styleId="eop" w:customStyle="1">
    <w:name w:val="eop"/>
    <w:basedOn w:val="DefaultParagraphFont"/>
    <w:qFormat/>
    <w:rsid w:val="00ee47df"/>
    <w:rPr/>
  </w:style>
  <w:style w:type="character" w:styleId="TextocomentarioCar" w:customStyle="1">
    <w:name w:val="Texto comentario Car"/>
    <w:basedOn w:val="DefaultParagraphFont"/>
    <w:uiPriority w:val="99"/>
    <w:qFormat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character" w:styleId="Emphasis">
    <w:name w:val="Emphasis"/>
    <w:basedOn w:val="DefaultParagraphFont"/>
    <w:uiPriority w:val="20"/>
    <w:qFormat/>
    <w:rsid w:val="00f67881"/>
    <w:rPr>
      <w:i/>
      <w:iCs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Cabeceraypie">
    <w:name w:val="Cabecera y pie"/>
    <w:basedOn w:val="Normal"/>
    <w:qFormat/>
    <w:pPr/>
    <w:rPr/>
  </w:style>
  <w:style w:type="paragraph" w:styleId="Cabeceraypieuser">
    <w:name w:val="Cabecera y pie (user)"/>
    <w:basedOn w:val="Normal"/>
    <w:qFormat/>
    <w:pPr/>
    <w:rPr/>
  </w:style>
  <w:style w:type="paragraph" w:styleId="Header">
    <w:name w:val="header"/>
    <w:basedOn w:val="Normal"/>
    <w:link w:val="EncabezadoCar"/>
    <w:uiPriority w:val="99"/>
    <w:unhideWhenUsed/>
    <w:rsid w:val="009d3054"/>
    <w:pPr>
      <w:tabs>
        <w:tab w:val="clear" w:pos="720"/>
        <w:tab w:val="center" w:pos="4419" w:leader="none"/>
        <w:tab w:val="right" w:pos="8838" w:leader="none"/>
      </w:tabs>
    </w:pPr>
    <w:rPr/>
  </w:style>
  <w:style w:type="paragraph" w:styleId="Footer">
    <w:name w:val="footer"/>
    <w:basedOn w:val="Normal"/>
    <w:link w:val="PiedepginaCar"/>
    <w:uiPriority w:val="99"/>
    <w:unhideWhenUsed/>
    <w:rsid w:val="009d3054"/>
    <w:pPr>
      <w:tabs>
        <w:tab w:val="clear" w:pos="720"/>
        <w:tab w:val="center" w:pos="4419" w:leader="none"/>
        <w:tab w:val="right" w:pos="8838" w:leader="none"/>
      </w:tabs>
    </w:pPr>
    <w:rPr/>
  </w:style>
  <w:style w:type="paragraph" w:styleId="paragraph" w:customStyle="1">
    <w:name w:val="paragraph"/>
    <w:basedOn w:val="Normal"/>
    <w:qFormat/>
    <w:rsid w:val="00942ee0"/>
    <w:pPr>
      <w:spacing w:beforeAutospacing="1" w:afterAutospacing="1"/>
    </w:pPr>
    <w:rPr>
      <w:rFonts w:ascii="Times New Roman" w:hAnsi="Times New Roman" w:eastAsia="Times New Roman" w:cs="Times New Roman"/>
    </w:rPr>
  </w:style>
  <w:style w:type="paragraph" w:styleId="CommentText">
    <w:name w:val="annotation text"/>
    <w:basedOn w:val="Normal"/>
    <w:link w:val="TextocomentarioCar"/>
    <w:uiPriority w:val="99"/>
    <w:unhideWhenUsed/>
    <w:pPr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8253b7"/>
    <w:pPr>
      <w:widowControl w:val="false"/>
      <w:tabs>
        <w:tab w:val="clear" w:pos="720"/>
        <w:tab w:val="left" w:pos="425" w:leader="none"/>
      </w:tabs>
      <w:spacing w:before="0" w:after="0"/>
      <w:ind w:left="720"/>
      <w:contextualSpacing/>
    </w:pPr>
    <w:rPr>
      <w:rFonts w:ascii="Times New Roman" w:hAnsi="Times New Roman" w:eastAsia="" w:cs="Times New Roman" w:eastAsiaTheme="minorEastAsia"/>
      <w:lang w:val="es-ES_tradnl" w:eastAsia="es-ES_tradnl"/>
    </w:rPr>
  </w:style>
  <w:style w:type="paragraph" w:styleId="NormalWeb">
    <w:name w:val="Normal (Web)"/>
    <w:basedOn w:val="Normal"/>
    <w:uiPriority w:val="99"/>
    <w:unhideWhenUsed/>
    <w:qFormat/>
    <w:rsid w:val="00f67881"/>
    <w:pPr>
      <w:spacing w:beforeAutospacing="1" w:afterAutospacing="1"/>
    </w:pPr>
    <w:rPr>
      <w:rFonts w:ascii="Times New Roman" w:hAnsi="Times New Roman" w:eastAsia="Times New Roman" w:cs="Times New Roman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ingunalista" w:default="1">
    <w:name w:val="Ninguna lista"/>
    <w:uiPriority w:val="99"/>
    <w:semiHidden/>
    <w:unhideWhenUsed/>
    <w:qFormat/>
  </w:style>
  <w:style w:type="table" w:default="1" w:styleId="Tab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aconcuadrcula">
    <w:name w:val="Table Grid"/>
    <w:basedOn w:val="Tablanormal"/>
    <w:uiPriority w:val="59"/>
    <w:rsid w:val="008253b7"/>
    <w:rPr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Cuadrculamedia1-nfasis5">
    <w:name w:val="Medium Grid 1 Accent 5"/>
    <w:basedOn w:val="Tablanormal"/>
    <w:uiPriority w:val="67"/>
    <w:rsid w:val="008253b7"/>
    <w:rPr>
      <w:rFonts w:eastAsiaTheme="minorEastAsia"/>
      <w:lang w:val="es-ES_tradnl" w:eastAsia="es-ES"/>
    </w:rPr>
    <w:tblPr>
      <w:tblStyleRowBandSize w:val="1"/>
      <w:tblStyleColBandSize w:val="1"/>
      <w:tblBorders>
        <w:top w:val="single" w:color="84B3DF" w:themeColor="accent5" w:themeTint="bf" w:sz="8" w:space="0"/>
        <w:left w:val="single" w:color="84B3DF" w:themeColor="accent5" w:themeTint="bf" w:sz="8" w:space="0"/>
        <w:bottom w:val="single" w:color="84B3DF" w:themeColor="accent5" w:themeTint="bf" w:sz="8" w:space="0"/>
        <w:right w:val="single" w:color="84B3DF" w:themeColor="accent5" w:themeTint="bf" w:sz="8" w:space="0"/>
        <w:insideH w:val="single" w:color="84B3DF" w:themeColor="accent5" w:themeTint="bf" w:sz="8" w:space="0"/>
        <w:insideV w:val="single" w:color="84B3DF" w:themeColor="accent5" w:themeTint="bf" w:sz="8" w:space="0"/>
      </w:tblBorders>
    </w:tblPr>
    <w:tcPr>
      <w:shd w:val="clear" w:color="auto" w:fill="D6E6F4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84B3DF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customStyle="1" w:styleId="Tablaconcuadrcula7concolores-nfasis41">
    <w:name w:val="Tabla con cuadrícula 7 con colores - Énfasis 41"/>
    <w:basedOn w:val="Tablanormal"/>
    <w:uiPriority w:val="52"/>
    <w:rsid w:val="008253b7"/>
    <w:rPr>
      <w:color w:themeColor="accent4" w:themeShade="bf"/>
      <w:sz w:val="22"/>
      <w:szCs w:val="22"/>
    </w:rPr>
    <w:tblPr>
      <w:tblStyleRowBandSize w:val="1"/>
      <w:tblStyleColBandSize w:val="1"/>
      <w:tblBorders>
        <w:top w:val="single" w:color="FFD966" w:themeColor="accent4" w:themeTint="99" w:sz="4" w:space="0"/>
        <w:left w:val="single" w:color="FFD966" w:themeColor="accent4" w:themeTint="99" w:sz="4" w:space="0"/>
        <w:bottom w:val="single" w:color="FFD966" w:themeColor="accent4" w:themeTint="99" w:sz="4" w:space="0"/>
        <w:right w:val="single" w:color="FFD966" w:themeColor="accent4" w:themeTint="99" w:sz="4" w:space="0"/>
        <w:insideH w:val="single" w:color="FFD966" w:themeColor="accent4" w:themeTint="99" w:sz="4" w:space="0"/>
        <w:insideV w:val="single" w:color="FFD966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color="FFD966" w:themeColor="accent4" w:sz="4" w:space="0"/>
        </w:tcBorders>
      </w:tcPr>
    </w:tblStylePr>
    <w:tblStylePr w:type="nwCell">
      <w:tblPr/>
      <w:tcPr>
        <w:tcBorders>
          <w:bottom w:val="single" w:color="FFD966" w:themeColor="accent4" w:sz="4" w:space="0"/>
        </w:tcBorders>
      </w:tcPr>
    </w:tblStylePr>
    <w:tblStylePr w:type="seCell">
      <w:tblPr/>
      <w:tcPr>
        <w:tcBorders>
          <w:top w:val="single" w:color="FFD966" w:themeColor="accent4" w:sz="4" w:space="0"/>
        </w:tcBorders>
      </w:tcPr>
    </w:tblStylePr>
    <w:tblStylePr w:type="swCell">
      <w:tblPr/>
      <w:tcPr>
        <w:tcBorders>
          <w:top w:val="single" w:color="FFD966" w:themeColor="accent4" w:sz="4" w:space="0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<Relationship Id="rId10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<Relationship Id="rId32" Type="http://schemas.openxmlformats.org/officeDocument/2006/relationships/font" Target="fonts/font32.odttf"/><Relationship Id="rId33" Type="http://schemas.openxmlformats.org/officeDocument/2006/relationships/font" Target="fonts/font33.odttf"/><Relationship Id="rId34" Type="http://schemas.openxmlformats.org/officeDocument/2006/relationships/font" Target="fonts/font34.odttf"/><Relationship Id="rId35" Type="http://schemas.openxmlformats.org/officeDocument/2006/relationships/font" Target="fonts/font35.odttf"/><Relationship Id="rId36" Type="http://schemas.openxmlformats.org/officeDocument/2006/relationships/font" Target="fonts/font36.odttf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jpeg"/>
</Relationships>
</file>

<file path=word/theme/theme1.xml><?xml version="1.0" encoding="utf-8"?>
<a:theme xmlns:a="http://schemas.openxmlformats.org/drawingml/2006/main" xmlns:r="http://schemas.openxmlformats.org/officeDocument/2006/relationships" name="Tema de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GNYrp7y4oqwQNC8qYi8XyJxxVig==">CgMxLjAyDmgucDh6aWwyM29va21nMg5oLjR3M2p4bTRkZ3gzYzgAciExYTBGczF2LW9oUGtUb1E2Mzg0MWFpcUxGaFFPZXRDR0k=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Application>LibreOffice/25.2.5.2$Windows_X86_64 LibreOffice_project/03d19516eb2e1dd5d4ccd751a0d6f35f35e08022</Application>
  <AppVersion>15.0000</AppVersion>
  <Pages>3</Pages>
  <Words>324</Words>
  <Characters>1706</Characters>
  <CharactersWithSpaces>1986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2025-03-09T14:12:00Z</dcterms:created>
  <dc:creator>Jorge Estrada</dc:creator>
  <dc:description/>
  <dc:language>es-MX</dc:language>
  <cp:lastModifiedBy/>
  <dcterms:modified xsi:type="dcterms:W3CDTF">2025-09-05T15:32:11Z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